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AD961">
      <w:pPr>
        <w:spacing w:line="560" w:lineRule="exact"/>
        <w:jc w:val="both"/>
        <w:rPr>
          <w:rFonts w:hint="default" w:ascii="黑体" w:hAnsi="黑体" w:eastAsia="黑体" w:cs="黑体"/>
          <w:color w:val="000000"/>
          <w:sz w:val="24"/>
          <w:lang w:val="en-US" w:eastAsia="zh-CN" w:bidi="zh-TW"/>
        </w:rPr>
      </w:pPr>
      <w:r>
        <w:rPr>
          <w:rFonts w:hint="eastAsia" w:ascii="黑体" w:hAnsi="黑体" w:eastAsia="黑体" w:cs="黑体"/>
          <w:color w:val="000000"/>
          <w:sz w:val="24"/>
          <w:lang w:val="en-US" w:eastAsia="zh-CN" w:bidi="zh-TW"/>
        </w:rPr>
        <w:t>附件3</w:t>
      </w:r>
    </w:p>
    <w:p w14:paraId="1D524834">
      <w:pPr>
        <w:spacing w:line="560" w:lineRule="exact"/>
        <w:jc w:val="center"/>
        <w:rPr>
          <w:rFonts w:eastAsia="方正小标宋简体"/>
          <w:sz w:val="24"/>
        </w:rPr>
      </w:pPr>
      <w:r>
        <w:rPr>
          <w:rFonts w:hint="eastAsia" w:ascii="黑体" w:hAnsi="黑体" w:eastAsia="黑体" w:cs="黑体"/>
          <w:color w:val="000000"/>
          <w:sz w:val="24"/>
          <w:lang w:bidi="zh-TW"/>
        </w:rPr>
        <w:t>自治区房屋建筑和市政基础设施工程建设项目招标代理机构信用标准</w:t>
      </w:r>
    </w:p>
    <w:tbl>
      <w:tblPr>
        <w:tblStyle w:val="5"/>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00"/>
        <w:gridCol w:w="1215"/>
        <w:gridCol w:w="825"/>
        <w:gridCol w:w="7995"/>
        <w:gridCol w:w="3006"/>
        <w:gridCol w:w="774"/>
      </w:tblGrid>
      <w:tr w14:paraId="19D6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75" w:type="dxa"/>
            <w:tcBorders>
              <w:top w:val="single" w:color="auto" w:sz="4" w:space="0"/>
              <w:left w:val="single" w:color="auto" w:sz="4" w:space="0"/>
              <w:bottom w:val="single" w:color="auto" w:sz="4" w:space="0"/>
              <w:right w:val="single" w:color="auto" w:sz="4" w:space="0"/>
            </w:tcBorders>
            <w:noWrap/>
            <w:vAlign w:val="center"/>
          </w:tcPr>
          <w:p w14:paraId="503573E8">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1200" w:type="dxa"/>
            <w:tcBorders>
              <w:top w:val="single" w:color="auto" w:sz="4" w:space="0"/>
              <w:left w:val="single" w:color="auto" w:sz="4" w:space="0"/>
              <w:bottom w:val="single" w:color="auto" w:sz="4" w:space="0"/>
              <w:right w:val="single" w:color="auto" w:sz="4" w:space="0"/>
            </w:tcBorders>
            <w:noWrap/>
            <w:vAlign w:val="center"/>
          </w:tcPr>
          <w:p w14:paraId="3CCD8BA2">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评价项目</w:t>
            </w:r>
          </w:p>
        </w:tc>
        <w:tc>
          <w:tcPr>
            <w:tcW w:w="1215" w:type="dxa"/>
            <w:tcBorders>
              <w:top w:val="single" w:color="auto" w:sz="4" w:space="0"/>
              <w:left w:val="single" w:color="auto" w:sz="4" w:space="0"/>
              <w:bottom w:val="single" w:color="auto" w:sz="4" w:space="0"/>
              <w:right w:val="single" w:color="auto" w:sz="4" w:space="0"/>
            </w:tcBorders>
            <w:noWrap/>
            <w:vAlign w:val="center"/>
          </w:tcPr>
          <w:p w14:paraId="3BD5D917">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评价指标</w:t>
            </w:r>
          </w:p>
        </w:tc>
        <w:tc>
          <w:tcPr>
            <w:tcW w:w="825" w:type="dxa"/>
            <w:tcBorders>
              <w:top w:val="single" w:color="auto" w:sz="4" w:space="0"/>
              <w:left w:val="single" w:color="auto" w:sz="4" w:space="0"/>
              <w:bottom w:val="single" w:color="auto" w:sz="4" w:space="0"/>
              <w:right w:val="single" w:color="auto" w:sz="4" w:space="0"/>
            </w:tcBorders>
            <w:noWrap/>
            <w:vAlign w:val="center"/>
          </w:tcPr>
          <w:p w14:paraId="7759E79E">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标准分值</w:t>
            </w:r>
          </w:p>
        </w:tc>
        <w:tc>
          <w:tcPr>
            <w:tcW w:w="7995" w:type="dxa"/>
            <w:tcBorders>
              <w:top w:val="single" w:color="auto" w:sz="4" w:space="0"/>
              <w:left w:val="single" w:color="auto" w:sz="4" w:space="0"/>
              <w:bottom w:val="single" w:color="auto" w:sz="4" w:space="0"/>
              <w:right w:val="single" w:color="auto" w:sz="4" w:space="0"/>
            </w:tcBorders>
            <w:noWrap/>
            <w:vAlign w:val="center"/>
          </w:tcPr>
          <w:p w14:paraId="4807F9DE">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评分细则</w:t>
            </w:r>
          </w:p>
        </w:tc>
        <w:tc>
          <w:tcPr>
            <w:tcW w:w="3006" w:type="dxa"/>
            <w:tcBorders>
              <w:top w:val="single" w:color="auto" w:sz="4" w:space="0"/>
              <w:left w:val="single" w:color="auto" w:sz="4" w:space="0"/>
              <w:bottom w:val="single" w:color="auto" w:sz="4" w:space="0"/>
              <w:right w:val="single" w:color="auto" w:sz="4" w:space="0"/>
            </w:tcBorders>
            <w:noWrap/>
            <w:vAlign w:val="center"/>
          </w:tcPr>
          <w:p w14:paraId="2247C59C">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信息采集方式</w:t>
            </w:r>
          </w:p>
        </w:tc>
        <w:tc>
          <w:tcPr>
            <w:tcW w:w="774" w:type="dxa"/>
            <w:tcBorders>
              <w:top w:val="single" w:color="auto" w:sz="4" w:space="0"/>
              <w:left w:val="single" w:color="auto" w:sz="4" w:space="0"/>
              <w:bottom w:val="single" w:color="auto" w:sz="4" w:space="0"/>
              <w:right w:val="single" w:color="auto" w:sz="4" w:space="0"/>
            </w:tcBorders>
            <w:noWrap/>
            <w:vAlign w:val="center"/>
          </w:tcPr>
          <w:p w14:paraId="0A9D7380">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14:paraId="3FD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475" w:type="dxa"/>
            <w:tcBorders>
              <w:top w:val="single" w:color="auto" w:sz="4" w:space="0"/>
              <w:left w:val="single" w:color="auto" w:sz="4" w:space="0"/>
              <w:bottom w:val="single" w:color="auto" w:sz="4" w:space="0"/>
              <w:right w:val="single" w:color="auto" w:sz="4" w:space="0"/>
            </w:tcBorders>
            <w:noWrap/>
            <w:vAlign w:val="center"/>
          </w:tcPr>
          <w:p w14:paraId="01C154D7">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0" w:type="dxa"/>
            <w:tcBorders>
              <w:top w:val="single" w:color="auto" w:sz="4" w:space="0"/>
              <w:left w:val="single" w:color="auto" w:sz="4" w:space="0"/>
              <w:bottom w:val="single" w:color="auto" w:sz="4" w:space="0"/>
              <w:right w:val="single" w:color="auto" w:sz="4" w:space="0"/>
            </w:tcBorders>
            <w:noWrap/>
            <w:vAlign w:val="center"/>
          </w:tcPr>
          <w:p w14:paraId="05E7F4D7">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起评分</w:t>
            </w:r>
          </w:p>
          <w:p w14:paraId="24DEA7CA">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40分</w:t>
            </w:r>
          </w:p>
        </w:tc>
        <w:tc>
          <w:tcPr>
            <w:tcW w:w="1215" w:type="dxa"/>
            <w:tcBorders>
              <w:top w:val="single" w:color="auto" w:sz="4" w:space="0"/>
              <w:left w:val="single" w:color="auto" w:sz="4" w:space="0"/>
              <w:bottom w:val="single" w:color="auto" w:sz="4" w:space="0"/>
              <w:right w:val="single" w:color="auto" w:sz="4" w:space="0"/>
            </w:tcBorders>
            <w:noWrap/>
            <w:vAlign w:val="center"/>
          </w:tcPr>
          <w:p w14:paraId="3189D873">
            <w:pPr>
              <w:widowControl/>
              <w:jc w:val="center"/>
              <w:rPr>
                <w:rFonts w:ascii="仿宋_GB2312" w:hAnsi="仿宋_GB2312" w:eastAsia="仿宋_GB2312" w:cs="仿宋_GB2312"/>
                <w:kern w:val="0"/>
                <w:sz w:val="24"/>
              </w:rPr>
            </w:pPr>
          </w:p>
        </w:tc>
        <w:tc>
          <w:tcPr>
            <w:tcW w:w="825" w:type="dxa"/>
            <w:tcBorders>
              <w:top w:val="single" w:color="auto" w:sz="4" w:space="0"/>
              <w:left w:val="single" w:color="auto" w:sz="4" w:space="0"/>
              <w:bottom w:val="single" w:color="auto" w:sz="4" w:space="0"/>
              <w:right w:val="single" w:color="auto" w:sz="4" w:space="0"/>
            </w:tcBorders>
            <w:noWrap/>
            <w:vAlign w:val="center"/>
          </w:tcPr>
          <w:p w14:paraId="3C46A337">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40</w:t>
            </w:r>
          </w:p>
        </w:tc>
        <w:tc>
          <w:tcPr>
            <w:tcW w:w="7995" w:type="dxa"/>
            <w:tcBorders>
              <w:top w:val="single" w:color="auto" w:sz="4" w:space="0"/>
              <w:left w:val="single" w:color="auto" w:sz="4" w:space="0"/>
              <w:bottom w:val="single" w:color="auto" w:sz="4" w:space="0"/>
              <w:right w:val="single" w:color="auto" w:sz="4" w:space="0"/>
            </w:tcBorders>
            <w:noWrap/>
            <w:vAlign w:val="center"/>
          </w:tcPr>
          <w:p w14:paraId="66AD9D4D">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1.信息真实性承诺书；</w:t>
            </w:r>
          </w:p>
          <w:p w14:paraId="0D04CAB0">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2.招标代理机构工商注册登记信息；</w:t>
            </w:r>
          </w:p>
          <w:p w14:paraId="2B72CA9C">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3.建立组织管理、合同管理、质量管理、档案管理、信息管理、财务管理制度信息。</w:t>
            </w:r>
          </w:p>
          <w:p w14:paraId="06FB0C2E">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注：以上二项信息申报情况与实际情况一致，得40分，一项不一致扣5分</w:t>
            </w:r>
          </w:p>
        </w:tc>
        <w:tc>
          <w:tcPr>
            <w:tcW w:w="3006" w:type="dxa"/>
            <w:tcBorders>
              <w:top w:val="single" w:color="auto" w:sz="4" w:space="0"/>
              <w:left w:val="single" w:color="auto" w:sz="4" w:space="0"/>
              <w:bottom w:val="single" w:color="auto" w:sz="4" w:space="0"/>
              <w:right w:val="single" w:color="auto" w:sz="4" w:space="0"/>
            </w:tcBorders>
            <w:noWrap/>
            <w:vAlign w:val="center"/>
          </w:tcPr>
          <w:p w14:paraId="0C80C802">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企业自行填报，</w:t>
            </w:r>
            <w:r>
              <w:rPr>
                <w:rFonts w:hint="eastAsia" w:ascii="仿宋_GB2312" w:hAnsi="仿宋_GB2312" w:eastAsia="仿宋_GB2312" w:cs="仿宋_GB2312"/>
                <w:kern w:val="0"/>
                <w:sz w:val="24"/>
                <w:szCs w:val="24"/>
              </w:rPr>
              <w:t>系统自动</w:t>
            </w:r>
            <w:r>
              <w:rPr>
                <w:rFonts w:hint="eastAsia" w:ascii="仿宋_GB2312" w:hAnsi="仿宋_GB2312" w:eastAsia="仿宋_GB2312" w:cs="仿宋_GB2312"/>
                <w:kern w:val="0"/>
                <w:sz w:val="24"/>
                <w:szCs w:val="24"/>
                <w:lang w:val="en-US" w:eastAsia="zh-CN"/>
              </w:rPr>
              <w:t>审核</w:t>
            </w:r>
          </w:p>
        </w:tc>
        <w:tc>
          <w:tcPr>
            <w:tcW w:w="774" w:type="dxa"/>
            <w:tcBorders>
              <w:top w:val="single" w:color="auto" w:sz="4" w:space="0"/>
              <w:left w:val="single" w:color="auto" w:sz="4" w:space="0"/>
              <w:bottom w:val="single" w:color="auto" w:sz="4" w:space="0"/>
              <w:right w:val="single" w:color="auto" w:sz="4" w:space="0"/>
            </w:tcBorders>
            <w:noWrap/>
            <w:vAlign w:val="center"/>
          </w:tcPr>
          <w:p w14:paraId="5048C214">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5D1B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475" w:type="dxa"/>
            <w:vMerge w:val="restart"/>
            <w:tcBorders>
              <w:top w:val="single" w:color="auto" w:sz="4" w:space="0"/>
              <w:left w:val="single" w:color="auto" w:sz="4" w:space="0"/>
              <w:right w:val="single" w:color="auto" w:sz="4" w:space="0"/>
            </w:tcBorders>
            <w:noWrap/>
            <w:vAlign w:val="center"/>
          </w:tcPr>
          <w:p w14:paraId="5D808888">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00" w:type="dxa"/>
            <w:vMerge w:val="restart"/>
            <w:tcBorders>
              <w:top w:val="single" w:color="auto" w:sz="4" w:space="0"/>
              <w:left w:val="single" w:color="auto" w:sz="4" w:space="0"/>
              <w:right w:val="single" w:color="auto" w:sz="4" w:space="0"/>
            </w:tcBorders>
            <w:noWrap/>
            <w:vAlign w:val="center"/>
          </w:tcPr>
          <w:p w14:paraId="4C94DB23">
            <w:pPr>
              <w:widowControl/>
              <w:jc w:val="center"/>
              <w:rPr>
                <w:rFonts w:ascii="仿宋_GB2312" w:hAnsi="仿宋_GB2312" w:eastAsia="仿宋_GB2312" w:cs="仿宋_GB2312"/>
                <w:kern w:val="0"/>
                <w:sz w:val="24"/>
              </w:rPr>
            </w:pPr>
          </w:p>
          <w:p w14:paraId="4B08EF68">
            <w:pPr>
              <w:widowControl/>
              <w:jc w:val="center"/>
              <w:rPr>
                <w:rFonts w:ascii="仿宋_GB2312" w:hAnsi="仿宋_GB2312" w:eastAsia="仿宋_GB2312" w:cs="仿宋_GB2312"/>
                <w:kern w:val="0"/>
                <w:sz w:val="24"/>
              </w:rPr>
            </w:pPr>
          </w:p>
          <w:p w14:paraId="0BD33AC6">
            <w:pPr>
              <w:widowControl/>
              <w:jc w:val="center"/>
              <w:rPr>
                <w:rFonts w:ascii="仿宋_GB2312" w:hAnsi="仿宋_GB2312" w:eastAsia="仿宋_GB2312" w:cs="仿宋_GB2312"/>
                <w:kern w:val="0"/>
                <w:sz w:val="24"/>
              </w:rPr>
            </w:pPr>
          </w:p>
          <w:p w14:paraId="2410C9F6">
            <w:pPr>
              <w:widowControl/>
              <w:jc w:val="center"/>
              <w:rPr>
                <w:rFonts w:ascii="仿宋_GB2312" w:hAnsi="仿宋_GB2312" w:eastAsia="仿宋_GB2312" w:cs="仿宋_GB2312"/>
                <w:kern w:val="0"/>
                <w:sz w:val="24"/>
              </w:rPr>
            </w:pPr>
          </w:p>
          <w:p w14:paraId="021D90BF">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基本</w:t>
            </w:r>
          </w:p>
          <w:p w14:paraId="618A83D8">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信息</w:t>
            </w:r>
          </w:p>
          <w:p w14:paraId="3009643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（59分）</w:t>
            </w:r>
          </w:p>
          <w:p w14:paraId="5E38F78E">
            <w:pPr>
              <w:widowControl/>
              <w:jc w:val="center"/>
              <w:rPr>
                <w:rFonts w:ascii="仿宋_GB2312" w:hAnsi="仿宋_GB2312" w:eastAsia="仿宋_GB2312" w:cs="仿宋_GB2312"/>
                <w:kern w:val="0"/>
                <w:sz w:val="24"/>
              </w:rPr>
            </w:pPr>
          </w:p>
          <w:p w14:paraId="57551F75">
            <w:pPr>
              <w:widowControl/>
              <w:jc w:val="center"/>
              <w:rPr>
                <w:rFonts w:ascii="仿宋_GB2312" w:hAnsi="仿宋_GB2312" w:eastAsia="仿宋_GB2312" w:cs="仿宋_GB2312"/>
                <w:kern w:val="0"/>
                <w:sz w:val="24"/>
              </w:rPr>
            </w:pPr>
          </w:p>
          <w:p w14:paraId="3CBFF992">
            <w:pPr>
              <w:widowControl/>
              <w:jc w:val="center"/>
              <w:rPr>
                <w:rFonts w:ascii="仿宋_GB2312" w:hAnsi="仿宋_GB2312" w:eastAsia="仿宋_GB2312" w:cs="仿宋_GB2312"/>
                <w:kern w:val="0"/>
                <w:sz w:val="24"/>
              </w:rPr>
            </w:pPr>
          </w:p>
          <w:p w14:paraId="05DC47D9">
            <w:pPr>
              <w:widowControl/>
              <w:jc w:val="center"/>
              <w:rPr>
                <w:rFonts w:ascii="仿宋_GB2312" w:hAnsi="仿宋_GB2312" w:eastAsia="仿宋_GB2312" w:cs="仿宋_GB2312"/>
                <w:kern w:val="0"/>
                <w:sz w:val="24"/>
              </w:rPr>
            </w:pPr>
          </w:p>
          <w:p w14:paraId="2594022C">
            <w:pPr>
              <w:widowControl/>
              <w:jc w:val="center"/>
              <w:rPr>
                <w:rFonts w:ascii="仿宋_GB2312" w:hAnsi="仿宋_GB2312" w:eastAsia="仿宋_GB2312" w:cs="仿宋_GB2312"/>
                <w:kern w:val="0"/>
                <w:sz w:val="24"/>
              </w:rPr>
            </w:pPr>
          </w:p>
          <w:p w14:paraId="7AD5F8DA">
            <w:pPr>
              <w:widowControl/>
              <w:jc w:val="center"/>
              <w:rPr>
                <w:rFonts w:ascii="仿宋_GB2312" w:hAnsi="仿宋_GB2312" w:eastAsia="仿宋_GB2312" w:cs="仿宋_GB2312"/>
                <w:kern w:val="0"/>
                <w:sz w:val="24"/>
              </w:rPr>
            </w:pPr>
          </w:p>
          <w:p w14:paraId="678D7BAE">
            <w:pPr>
              <w:widowControl/>
              <w:jc w:val="center"/>
              <w:rPr>
                <w:rFonts w:ascii="仿宋_GB2312" w:hAnsi="仿宋_GB2312" w:eastAsia="仿宋_GB2312" w:cs="仿宋_GB2312"/>
                <w:kern w:val="0"/>
                <w:sz w:val="24"/>
              </w:rPr>
            </w:pPr>
          </w:p>
          <w:p w14:paraId="1F110900">
            <w:pPr>
              <w:widowControl/>
              <w:jc w:val="center"/>
              <w:rPr>
                <w:rFonts w:ascii="仿宋_GB2312" w:hAnsi="仿宋_GB2312" w:eastAsia="仿宋_GB2312" w:cs="仿宋_GB2312"/>
                <w:kern w:val="0"/>
                <w:sz w:val="24"/>
              </w:rPr>
            </w:pPr>
          </w:p>
          <w:p w14:paraId="47D16834">
            <w:pPr>
              <w:widowControl/>
              <w:rPr>
                <w:rFonts w:ascii="仿宋_GB2312" w:hAnsi="仿宋_GB2312" w:eastAsia="仿宋_GB2312" w:cs="仿宋_GB2312"/>
                <w:kern w:val="0"/>
                <w:sz w:val="24"/>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60D05776">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党建工作</w:t>
            </w:r>
          </w:p>
        </w:tc>
        <w:tc>
          <w:tcPr>
            <w:tcW w:w="825" w:type="dxa"/>
            <w:tcBorders>
              <w:top w:val="single" w:color="auto" w:sz="4" w:space="0"/>
              <w:left w:val="single" w:color="auto" w:sz="4" w:space="0"/>
              <w:bottom w:val="single" w:color="auto" w:sz="4" w:space="0"/>
              <w:right w:val="single" w:color="auto" w:sz="4" w:space="0"/>
            </w:tcBorders>
            <w:noWrap/>
            <w:vAlign w:val="center"/>
          </w:tcPr>
          <w:p w14:paraId="29927013">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7995" w:type="dxa"/>
            <w:tcBorders>
              <w:top w:val="single" w:color="auto" w:sz="4" w:space="0"/>
              <w:left w:val="single" w:color="auto" w:sz="4" w:space="0"/>
              <w:bottom w:val="single" w:color="auto" w:sz="4" w:space="0"/>
              <w:right w:val="single" w:color="auto" w:sz="4" w:space="0"/>
            </w:tcBorders>
            <w:noWrap/>
            <w:vAlign w:val="center"/>
          </w:tcPr>
          <w:p w14:paraId="649F22D3">
            <w:pPr>
              <w:pStyle w:val="7"/>
              <w:tabs>
                <w:tab w:val="left" w:pos="216"/>
              </w:tabs>
              <w:spacing w:line="240" w:lineRule="auto"/>
              <w:ind w:firstLine="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1.建立党组织（含联合支部）得3分；</w:t>
            </w:r>
          </w:p>
          <w:p w14:paraId="052BB8A0">
            <w:pPr>
              <w:pStyle w:val="7"/>
              <w:tabs>
                <w:tab w:val="left" w:pos="216"/>
              </w:tabs>
              <w:spacing w:line="240" w:lineRule="auto"/>
              <w:ind w:firstLine="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2.未建立党组织，代理机构党员参与所在社区党组织活动得2分；</w:t>
            </w:r>
          </w:p>
          <w:p w14:paraId="6C0BBA2F">
            <w:pPr>
              <w:pStyle w:val="7"/>
              <w:tabs>
                <w:tab w:val="left" w:pos="216"/>
              </w:tabs>
              <w:spacing w:line="240" w:lineRule="auto"/>
              <w:ind w:firstLine="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3.上年度组织相应的党组织活动（如三会一课、党员主题教育等）的得2分。</w:t>
            </w:r>
          </w:p>
          <w:p w14:paraId="632F3CDC">
            <w:pPr>
              <w:pStyle w:val="7"/>
              <w:tabs>
                <w:tab w:val="left" w:pos="216"/>
              </w:tabs>
              <w:spacing w:line="240" w:lineRule="auto"/>
              <w:ind w:firstLine="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注：党组织活动低于4次的不得分</w:t>
            </w:r>
          </w:p>
        </w:tc>
        <w:tc>
          <w:tcPr>
            <w:tcW w:w="3006" w:type="dxa"/>
            <w:tcBorders>
              <w:top w:val="single" w:color="auto" w:sz="4" w:space="0"/>
              <w:left w:val="single" w:color="auto" w:sz="4" w:space="0"/>
              <w:right w:val="single" w:color="auto" w:sz="4" w:space="0"/>
            </w:tcBorders>
            <w:noWrap/>
            <w:vAlign w:val="center"/>
          </w:tcPr>
          <w:p w14:paraId="5B93DCF4">
            <w:pPr>
              <w:widowControl/>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企业自行填报</w:t>
            </w:r>
          </w:p>
          <w:p w14:paraId="618DD9DC">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①上传党组织批复文件、党组织相关活动图片及文字说明等证明材料。</w:t>
            </w:r>
          </w:p>
          <w:p w14:paraId="1A050D3E">
            <w:pPr>
              <w:pStyle w:val="4"/>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w:t>
            </w:r>
            <w:r>
              <w:rPr>
                <w:rFonts w:hint="eastAsia" w:ascii="仿宋_GB2312" w:hAnsi="仿宋_GB2312" w:eastAsia="仿宋_GB2312" w:cs="仿宋_GB2312"/>
                <w:kern w:val="0"/>
                <w:sz w:val="24"/>
                <w:szCs w:val="24"/>
                <w:lang w:val="en-US" w:eastAsia="zh-CN" w:bidi="ar-SA"/>
              </w:rPr>
              <w:t>未建立党组织，需提供社区证明（</w:t>
            </w:r>
            <w:r>
              <w:rPr>
                <w:rFonts w:hint="eastAsia" w:ascii="仿宋_GB2312" w:hAnsi="仿宋_GB2312" w:eastAsia="仿宋_GB2312" w:cs="仿宋_GB2312"/>
                <w:sz w:val="24"/>
                <w:szCs w:val="24"/>
              </w:rPr>
              <w:t>相关活动图片及文字说明</w:t>
            </w:r>
            <w:r>
              <w:rPr>
                <w:rFonts w:hint="eastAsia" w:ascii="仿宋_GB2312" w:hAnsi="仿宋_GB2312" w:eastAsia="仿宋_GB2312" w:cs="仿宋_GB2312"/>
                <w:kern w:val="0"/>
                <w:sz w:val="24"/>
                <w:szCs w:val="24"/>
                <w:lang w:val="en-US" w:eastAsia="zh-CN" w:bidi="ar-SA"/>
              </w:rPr>
              <w:t>）</w:t>
            </w:r>
          </w:p>
        </w:tc>
        <w:tc>
          <w:tcPr>
            <w:tcW w:w="774" w:type="dxa"/>
            <w:vMerge w:val="restart"/>
            <w:tcBorders>
              <w:top w:val="single" w:color="auto" w:sz="4" w:space="0"/>
              <w:left w:val="single" w:color="auto" w:sz="4" w:space="0"/>
              <w:right w:val="single" w:color="auto" w:sz="4" w:space="0"/>
            </w:tcBorders>
            <w:noWrap/>
            <w:vAlign w:val="center"/>
          </w:tcPr>
          <w:p w14:paraId="4B5FCA22">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w:t>
            </w:r>
          </w:p>
        </w:tc>
      </w:tr>
      <w:tr w14:paraId="4DE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475" w:type="dxa"/>
            <w:vMerge w:val="continue"/>
            <w:tcBorders>
              <w:left w:val="single" w:color="auto" w:sz="4" w:space="0"/>
              <w:right w:val="single" w:color="auto" w:sz="4" w:space="0"/>
            </w:tcBorders>
            <w:noWrap/>
            <w:vAlign w:val="center"/>
          </w:tcPr>
          <w:p w14:paraId="66785948">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14923922">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0E6E3893">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专业人员配置</w:t>
            </w:r>
          </w:p>
        </w:tc>
        <w:tc>
          <w:tcPr>
            <w:tcW w:w="825" w:type="dxa"/>
            <w:tcBorders>
              <w:top w:val="single" w:color="auto" w:sz="4" w:space="0"/>
              <w:left w:val="single" w:color="auto" w:sz="4" w:space="0"/>
              <w:bottom w:val="single" w:color="auto" w:sz="4" w:space="0"/>
              <w:right w:val="single" w:color="auto" w:sz="4" w:space="0"/>
            </w:tcBorders>
            <w:noWrap/>
            <w:vAlign w:val="center"/>
          </w:tcPr>
          <w:p w14:paraId="4D3A509E">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7995" w:type="dxa"/>
            <w:tcBorders>
              <w:top w:val="single" w:color="auto" w:sz="4" w:space="0"/>
              <w:left w:val="single" w:color="auto" w:sz="4" w:space="0"/>
              <w:bottom w:val="single" w:color="auto" w:sz="4" w:space="0"/>
              <w:right w:val="single" w:color="auto" w:sz="4" w:space="0"/>
            </w:tcBorders>
            <w:noWrap/>
            <w:vAlign w:val="center"/>
          </w:tcPr>
          <w:p w14:paraId="4ADBEF0F">
            <w:pPr>
              <w:pStyle w:val="7"/>
              <w:tabs>
                <w:tab w:val="left" w:pos="216"/>
              </w:tabs>
              <w:spacing w:line="240" w:lineRule="auto"/>
              <w:ind w:firstLine="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1.有一级注册造价师执业资格人员每人得3分，最多得12分；</w:t>
            </w:r>
          </w:p>
          <w:p w14:paraId="1A7832FA">
            <w:pPr>
              <w:pStyle w:val="7"/>
              <w:tabs>
                <w:tab w:val="left" w:pos="216"/>
              </w:tabs>
              <w:spacing w:line="240" w:lineRule="auto"/>
              <w:ind w:firstLine="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2.具有工程建设类中级及以上职称每人得2分，最多得8分。</w:t>
            </w:r>
          </w:p>
          <w:p w14:paraId="534C9EF0">
            <w:pPr>
              <w:widowControl/>
              <w:adjustRightInd w:val="0"/>
              <w:snapToGri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注：以上二项人员得分可兼得。</w:t>
            </w:r>
          </w:p>
          <w:p w14:paraId="68197C40">
            <w:pPr>
              <w:widowControl/>
              <w:adjustRightInd w:val="0"/>
              <w:snapToGri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highlight w:val="none"/>
              </w:rPr>
              <w:t>（企业退休人员不得超过总人数的20%，企业缴纳社保人员总数为依据）</w:t>
            </w:r>
          </w:p>
        </w:tc>
        <w:tc>
          <w:tcPr>
            <w:tcW w:w="3006" w:type="dxa"/>
            <w:tcBorders>
              <w:left w:val="single" w:color="auto" w:sz="4" w:space="0"/>
              <w:bottom w:val="single" w:color="auto" w:sz="4" w:space="0"/>
              <w:right w:val="single" w:color="auto" w:sz="4" w:space="0"/>
            </w:tcBorders>
            <w:noWrap/>
            <w:vAlign w:val="center"/>
          </w:tcPr>
          <w:p w14:paraId="400E80C1">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建设云平台获取</w:t>
            </w:r>
          </w:p>
        </w:tc>
        <w:tc>
          <w:tcPr>
            <w:tcW w:w="774" w:type="dxa"/>
            <w:vMerge w:val="continue"/>
            <w:tcBorders>
              <w:left w:val="single" w:color="auto" w:sz="4" w:space="0"/>
              <w:bottom w:val="single" w:color="auto" w:sz="4" w:space="0"/>
              <w:right w:val="single" w:color="auto" w:sz="4" w:space="0"/>
            </w:tcBorders>
            <w:noWrap/>
            <w:vAlign w:val="center"/>
          </w:tcPr>
          <w:p w14:paraId="42153779">
            <w:pPr>
              <w:widowControl/>
              <w:jc w:val="center"/>
              <w:rPr>
                <w:rFonts w:ascii="仿宋_GB2312" w:hAnsi="仿宋_GB2312" w:eastAsia="仿宋_GB2312" w:cs="仿宋_GB2312"/>
                <w:kern w:val="0"/>
                <w:sz w:val="24"/>
              </w:rPr>
            </w:pPr>
          </w:p>
        </w:tc>
      </w:tr>
      <w:tr w14:paraId="2E19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475" w:type="dxa"/>
            <w:vMerge w:val="continue"/>
            <w:tcBorders>
              <w:left w:val="single" w:color="auto" w:sz="4" w:space="0"/>
              <w:right w:val="single" w:color="auto" w:sz="4" w:space="0"/>
            </w:tcBorders>
            <w:noWrap/>
            <w:vAlign w:val="center"/>
          </w:tcPr>
          <w:p w14:paraId="04750234">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0937EC22">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29E97014">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办公场所面积</w:t>
            </w:r>
          </w:p>
        </w:tc>
        <w:tc>
          <w:tcPr>
            <w:tcW w:w="825" w:type="dxa"/>
            <w:tcBorders>
              <w:top w:val="single" w:color="auto" w:sz="4" w:space="0"/>
              <w:left w:val="single" w:color="auto" w:sz="4" w:space="0"/>
              <w:bottom w:val="single" w:color="auto" w:sz="4" w:space="0"/>
              <w:right w:val="single" w:color="auto" w:sz="4" w:space="0"/>
            </w:tcBorders>
            <w:noWrap/>
            <w:vAlign w:val="center"/>
          </w:tcPr>
          <w:p w14:paraId="11127BF3">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7995" w:type="dxa"/>
            <w:tcBorders>
              <w:top w:val="single" w:color="auto" w:sz="4" w:space="0"/>
              <w:left w:val="single" w:color="auto" w:sz="4" w:space="0"/>
              <w:bottom w:val="single" w:color="auto" w:sz="4" w:space="0"/>
              <w:right w:val="single" w:color="auto" w:sz="4" w:space="0"/>
            </w:tcBorders>
            <w:noWrap/>
            <w:vAlign w:val="center"/>
          </w:tcPr>
          <w:p w14:paraId="6B009DF6">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办公面积达到：</w:t>
            </w:r>
          </w:p>
          <w:p w14:paraId="3B0D2875">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300平方米（含）及以上得4分；</w:t>
            </w:r>
          </w:p>
          <w:p w14:paraId="723491CA">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200平方米（含）-300平方米（不含）得3分；</w:t>
            </w:r>
          </w:p>
          <w:p w14:paraId="072E4EBB">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100平方米（含）-200平方米（不含）得2分；</w:t>
            </w:r>
          </w:p>
          <w:p w14:paraId="4126E03D">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不足100平方米得1分。</w:t>
            </w:r>
          </w:p>
        </w:tc>
        <w:tc>
          <w:tcPr>
            <w:tcW w:w="3006" w:type="dxa"/>
            <w:tcBorders>
              <w:left w:val="single" w:color="auto" w:sz="4" w:space="0"/>
              <w:bottom w:val="single" w:color="auto" w:sz="4" w:space="0"/>
              <w:right w:val="single" w:color="auto" w:sz="4" w:space="0"/>
            </w:tcBorders>
            <w:noWrap/>
            <w:vAlign w:val="center"/>
          </w:tcPr>
          <w:p w14:paraId="299CA5C0">
            <w:pPr>
              <w:widowControl/>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企业自行填报</w:t>
            </w:r>
          </w:p>
          <w:p w14:paraId="37881A83">
            <w:pPr>
              <w:widowControl/>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①房产证</w:t>
            </w:r>
            <w:r>
              <w:rPr>
                <w:rFonts w:hint="eastAsia" w:ascii="仿宋_GB2312" w:hAnsi="仿宋_GB2312" w:eastAsia="仿宋_GB2312" w:cs="仿宋_GB2312"/>
                <w:kern w:val="0"/>
                <w:sz w:val="24"/>
                <w:lang w:val="en-US" w:eastAsia="zh-CN"/>
              </w:rPr>
              <w:t>或购房合同；</w:t>
            </w:r>
          </w:p>
          <w:p w14:paraId="61CA3E97">
            <w:pPr>
              <w:widowControl/>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②房屋租赁合同</w:t>
            </w:r>
            <w:r>
              <w:rPr>
                <w:rFonts w:hint="eastAsia" w:ascii="仿宋_GB2312" w:hAnsi="仿宋_GB2312" w:eastAsia="仿宋_GB2312" w:cs="仿宋_GB2312"/>
                <w:kern w:val="0"/>
                <w:sz w:val="24"/>
                <w:lang w:val="en-US" w:eastAsia="zh-CN"/>
              </w:rPr>
              <w:t>及</w:t>
            </w:r>
            <w:r>
              <w:rPr>
                <w:rFonts w:hint="eastAsia" w:ascii="仿宋_GB2312" w:hAnsi="仿宋_GB2312" w:eastAsia="仿宋_GB2312" w:cs="仿宋_GB2312"/>
                <w:kern w:val="0"/>
                <w:sz w:val="24"/>
              </w:rPr>
              <w:t>租赁房屋房产证</w:t>
            </w:r>
            <w:r>
              <w:rPr>
                <w:rFonts w:hint="eastAsia" w:ascii="仿宋_GB2312" w:hAnsi="仿宋_GB2312" w:eastAsia="仿宋_GB2312" w:cs="仿宋_GB2312"/>
                <w:kern w:val="0"/>
                <w:sz w:val="24"/>
                <w:lang w:val="en-US" w:eastAsia="zh-CN"/>
              </w:rPr>
              <w:t>或购房合同。</w:t>
            </w:r>
          </w:p>
        </w:tc>
        <w:tc>
          <w:tcPr>
            <w:tcW w:w="774" w:type="dxa"/>
            <w:vMerge w:val="continue"/>
            <w:tcBorders>
              <w:left w:val="single" w:color="auto" w:sz="4" w:space="0"/>
              <w:bottom w:val="single" w:color="auto" w:sz="4" w:space="0"/>
              <w:right w:val="single" w:color="auto" w:sz="4" w:space="0"/>
            </w:tcBorders>
            <w:noWrap/>
            <w:vAlign w:val="center"/>
          </w:tcPr>
          <w:p w14:paraId="6220428D">
            <w:pPr>
              <w:widowControl/>
              <w:jc w:val="center"/>
              <w:rPr>
                <w:rFonts w:ascii="仿宋_GB2312" w:hAnsi="仿宋_GB2312" w:eastAsia="仿宋_GB2312" w:cs="仿宋_GB2312"/>
                <w:kern w:val="0"/>
                <w:sz w:val="24"/>
              </w:rPr>
            </w:pPr>
          </w:p>
        </w:tc>
      </w:tr>
      <w:tr w14:paraId="381F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6" w:hRule="atLeast"/>
          <w:jc w:val="center"/>
        </w:trPr>
        <w:tc>
          <w:tcPr>
            <w:tcW w:w="475" w:type="dxa"/>
            <w:vMerge w:val="continue"/>
            <w:tcBorders>
              <w:left w:val="single" w:color="auto" w:sz="4" w:space="0"/>
              <w:right w:val="single" w:color="auto" w:sz="4" w:space="0"/>
            </w:tcBorders>
            <w:noWrap/>
            <w:vAlign w:val="center"/>
          </w:tcPr>
          <w:p w14:paraId="65C254FF">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7154E4A5">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6A1A39F4">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招标代理业绩</w:t>
            </w:r>
          </w:p>
        </w:tc>
        <w:tc>
          <w:tcPr>
            <w:tcW w:w="825" w:type="dxa"/>
            <w:tcBorders>
              <w:top w:val="single" w:color="auto" w:sz="4" w:space="0"/>
              <w:left w:val="single" w:color="auto" w:sz="4" w:space="0"/>
              <w:bottom w:val="single" w:color="auto" w:sz="4" w:space="0"/>
              <w:right w:val="single" w:color="auto" w:sz="4" w:space="0"/>
            </w:tcBorders>
            <w:noWrap/>
            <w:vAlign w:val="center"/>
          </w:tcPr>
          <w:p w14:paraId="264B86E7">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28</w:t>
            </w:r>
          </w:p>
        </w:tc>
        <w:tc>
          <w:tcPr>
            <w:tcW w:w="7995" w:type="dxa"/>
            <w:tcBorders>
              <w:top w:val="single" w:color="auto" w:sz="4" w:space="0"/>
              <w:left w:val="single" w:color="auto" w:sz="4" w:space="0"/>
              <w:bottom w:val="single" w:color="auto" w:sz="4" w:space="0"/>
              <w:right w:val="single" w:color="auto" w:sz="4" w:space="0"/>
            </w:tcBorders>
            <w:noWrap/>
            <w:vAlign w:val="center"/>
          </w:tcPr>
          <w:p w14:paraId="4A982FC1">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1.上一年度内业绩（15分）：</w:t>
            </w:r>
          </w:p>
          <w:p w14:paraId="59B80BF4">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累计招标金额5亿元以下的（含）得10分；</w:t>
            </w:r>
          </w:p>
          <w:p w14:paraId="1D013766">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累计招标金额5亿元-10亿元的（含）得13分; </w:t>
            </w:r>
          </w:p>
          <w:p w14:paraId="6C3B45E7">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累计招标金额10亿元以上的得15分。</w:t>
            </w:r>
          </w:p>
          <w:p w14:paraId="36FADD2B">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2.上年度累计标段数（13分）：</w:t>
            </w:r>
          </w:p>
          <w:p w14:paraId="3CDBCE17">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累计标段数50个（含）以上得13分；</w:t>
            </w:r>
          </w:p>
          <w:p w14:paraId="6C6CCD07">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累计标段数40个（含）-50个（不含）得12分；</w:t>
            </w:r>
          </w:p>
          <w:p w14:paraId="2C6930B8">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累计标段数30个（含）-40个（不含）得10分； </w:t>
            </w:r>
          </w:p>
          <w:p w14:paraId="343F9650">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累计标段数20个（含）-30个（不含）得8分；</w:t>
            </w:r>
          </w:p>
          <w:p w14:paraId="4B5CC9F2">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累计标段数10个（含）-20个（不含）得6分；</w:t>
            </w:r>
          </w:p>
          <w:p w14:paraId="22FADDB5">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累计标段数1个（含）-10个（不含）得4分；</w:t>
            </w:r>
          </w:p>
          <w:p w14:paraId="788BA426">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无业绩不得分</w:t>
            </w:r>
          </w:p>
          <w:p w14:paraId="4AD4379D">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注：以上两项得分可兼得。</w:t>
            </w:r>
          </w:p>
        </w:tc>
        <w:tc>
          <w:tcPr>
            <w:tcW w:w="3006" w:type="dxa"/>
            <w:tcBorders>
              <w:left w:val="single" w:color="auto" w:sz="4" w:space="0"/>
              <w:bottom w:val="single" w:color="auto" w:sz="4" w:space="0"/>
              <w:right w:val="single" w:color="auto" w:sz="4" w:space="0"/>
            </w:tcBorders>
            <w:noWrap/>
            <w:vAlign w:val="center"/>
          </w:tcPr>
          <w:p w14:paraId="76BAF1DE">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企业自行填报。</w:t>
            </w:r>
          </w:p>
        </w:tc>
        <w:tc>
          <w:tcPr>
            <w:tcW w:w="774" w:type="dxa"/>
            <w:vMerge w:val="continue"/>
            <w:tcBorders>
              <w:left w:val="single" w:color="auto" w:sz="4" w:space="0"/>
              <w:bottom w:val="single" w:color="auto" w:sz="4" w:space="0"/>
              <w:right w:val="single" w:color="auto" w:sz="4" w:space="0"/>
            </w:tcBorders>
            <w:noWrap/>
            <w:vAlign w:val="center"/>
          </w:tcPr>
          <w:p w14:paraId="7A92BF0F">
            <w:pPr>
              <w:widowControl/>
              <w:jc w:val="center"/>
              <w:rPr>
                <w:rFonts w:ascii="仿宋_GB2312" w:hAnsi="仿宋_GB2312" w:eastAsia="仿宋_GB2312" w:cs="仿宋_GB2312"/>
                <w:kern w:val="0"/>
                <w:sz w:val="24"/>
              </w:rPr>
            </w:pPr>
          </w:p>
        </w:tc>
      </w:tr>
      <w:tr w14:paraId="2F4E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475" w:type="dxa"/>
            <w:vMerge w:val="continue"/>
            <w:tcBorders>
              <w:left w:val="single" w:color="auto" w:sz="4" w:space="0"/>
              <w:right w:val="single" w:color="auto" w:sz="4" w:space="0"/>
            </w:tcBorders>
            <w:noWrap/>
            <w:vAlign w:val="center"/>
          </w:tcPr>
          <w:p w14:paraId="118059BB">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11D4CD88">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right w:val="single" w:color="auto" w:sz="4" w:space="0"/>
            </w:tcBorders>
            <w:noWrap/>
            <w:vAlign w:val="center"/>
          </w:tcPr>
          <w:p w14:paraId="31289B64">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业务拓展能力</w:t>
            </w:r>
          </w:p>
        </w:tc>
        <w:tc>
          <w:tcPr>
            <w:tcW w:w="825" w:type="dxa"/>
            <w:tcBorders>
              <w:top w:val="single" w:color="auto" w:sz="4" w:space="0"/>
              <w:left w:val="single" w:color="auto" w:sz="4" w:space="0"/>
              <w:right w:val="single" w:color="auto" w:sz="4" w:space="0"/>
            </w:tcBorders>
            <w:noWrap/>
            <w:vAlign w:val="center"/>
          </w:tcPr>
          <w:p w14:paraId="6EA9E3FB">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7995" w:type="dxa"/>
            <w:tcBorders>
              <w:top w:val="single" w:color="auto" w:sz="4" w:space="0"/>
              <w:left w:val="single" w:color="auto" w:sz="4" w:space="0"/>
              <w:right w:val="single" w:color="auto" w:sz="4" w:space="0"/>
            </w:tcBorders>
            <w:noWrap/>
            <w:vAlign w:val="center"/>
          </w:tcPr>
          <w:p w14:paraId="36A922CF">
            <w:pPr>
              <w:widowControl/>
              <w:adjustRightInd w:val="0"/>
              <w:snapToGrid w:val="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上年度承接过工程总承包（不含费率招标）的代理业务或承接过全过程工程咨询业务（全过程工程咨询范围包含招标代理服务），每一个/项得1分，最多得2分。</w:t>
            </w:r>
          </w:p>
        </w:tc>
        <w:tc>
          <w:tcPr>
            <w:tcW w:w="3006" w:type="dxa"/>
            <w:tcBorders>
              <w:left w:val="single" w:color="auto" w:sz="4" w:space="0"/>
              <w:bottom w:val="single" w:color="auto" w:sz="4" w:space="0"/>
              <w:right w:val="single" w:color="auto" w:sz="4" w:space="0"/>
            </w:tcBorders>
            <w:noWrap/>
            <w:vAlign w:val="center"/>
          </w:tcPr>
          <w:p w14:paraId="16252C1F">
            <w:pPr>
              <w:widowControl/>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企业自行填报</w:t>
            </w:r>
          </w:p>
        </w:tc>
        <w:tc>
          <w:tcPr>
            <w:tcW w:w="774" w:type="dxa"/>
            <w:vMerge w:val="continue"/>
            <w:tcBorders>
              <w:left w:val="single" w:color="auto" w:sz="4" w:space="0"/>
              <w:bottom w:val="single" w:color="auto" w:sz="4" w:space="0"/>
              <w:right w:val="single" w:color="auto" w:sz="4" w:space="0"/>
            </w:tcBorders>
            <w:noWrap/>
            <w:vAlign w:val="center"/>
          </w:tcPr>
          <w:p w14:paraId="2C48C796">
            <w:pPr>
              <w:widowControl/>
              <w:jc w:val="center"/>
              <w:rPr>
                <w:rFonts w:ascii="仿宋_GB2312" w:hAnsi="仿宋_GB2312" w:eastAsia="仿宋_GB2312" w:cs="仿宋_GB2312"/>
                <w:kern w:val="0"/>
                <w:sz w:val="24"/>
              </w:rPr>
            </w:pPr>
          </w:p>
        </w:tc>
      </w:tr>
      <w:tr w14:paraId="0EF3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475" w:type="dxa"/>
            <w:vMerge w:val="restart"/>
            <w:tcBorders>
              <w:top w:val="single" w:color="auto" w:sz="4" w:space="0"/>
              <w:left w:val="single" w:color="auto" w:sz="4" w:space="0"/>
              <w:right w:val="single" w:color="auto" w:sz="4" w:space="0"/>
            </w:tcBorders>
            <w:noWrap/>
            <w:vAlign w:val="center"/>
          </w:tcPr>
          <w:p w14:paraId="2F8A8EF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00" w:type="dxa"/>
            <w:vMerge w:val="restart"/>
            <w:tcBorders>
              <w:top w:val="single" w:color="auto" w:sz="4" w:space="0"/>
              <w:left w:val="single" w:color="auto" w:sz="4" w:space="0"/>
              <w:right w:val="single" w:color="auto" w:sz="4" w:space="0"/>
            </w:tcBorders>
            <w:noWrap/>
            <w:vAlign w:val="center"/>
          </w:tcPr>
          <w:p w14:paraId="3BA32688">
            <w:pPr>
              <w:widowControl/>
              <w:jc w:val="center"/>
              <w:rPr>
                <w:rFonts w:ascii="仿宋_GB2312" w:hAnsi="仿宋_GB2312" w:eastAsia="仿宋_GB2312" w:cs="仿宋_GB2312"/>
                <w:kern w:val="0"/>
                <w:sz w:val="24"/>
              </w:rPr>
            </w:pPr>
          </w:p>
          <w:p w14:paraId="45B97D59">
            <w:pPr>
              <w:widowControl/>
              <w:jc w:val="center"/>
              <w:rPr>
                <w:rFonts w:ascii="仿宋_GB2312" w:hAnsi="仿宋_GB2312" w:eastAsia="仿宋_GB2312" w:cs="仿宋_GB2312"/>
                <w:kern w:val="0"/>
                <w:sz w:val="24"/>
              </w:rPr>
            </w:pPr>
          </w:p>
          <w:p w14:paraId="3E20A543">
            <w:pPr>
              <w:widowControl/>
              <w:jc w:val="center"/>
              <w:rPr>
                <w:rFonts w:ascii="仿宋_GB2312" w:hAnsi="仿宋_GB2312" w:eastAsia="仿宋_GB2312" w:cs="仿宋_GB2312"/>
                <w:kern w:val="0"/>
                <w:sz w:val="24"/>
              </w:rPr>
            </w:pPr>
          </w:p>
          <w:p w14:paraId="0B278B41">
            <w:pPr>
              <w:widowControl/>
              <w:jc w:val="center"/>
              <w:rPr>
                <w:rFonts w:ascii="仿宋_GB2312" w:hAnsi="仿宋_GB2312" w:eastAsia="仿宋_GB2312" w:cs="仿宋_GB2312"/>
                <w:kern w:val="0"/>
                <w:sz w:val="24"/>
              </w:rPr>
            </w:pPr>
          </w:p>
          <w:p w14:paraId="12D8D2D0">
            <w:pPr>
              <w:pStyle w:val="4"/>
              <w:ind w:firstLine="480"/>
              <w:rPr>
                <w:rFonts w:ascii="仿宋_GB2312" w:hAnsi="仿宋_GB2312" w:eastAsia="仿宋_GB2312" w:cs="仿宋_GB2312"/>
                <w:kern w:val="0"/>
                <w:sz w:val="24"/>
              </w:rPr>
            </w:pPr>
          </w:p>
          <w:p w14:paraId="03525B69">
            <w:pPr>
              <w:pStyle w:val="4"/>
              <w:ind w:firstLine="480"/>
              <w:rPr>
                <w:rFonts w:ascii="仿宋_GB2312" w:hAnsi="仿宋_GB2312" w:eastAsia="仿宋_GB2312" w:cs="仿宋_GB2312"/>
                <w:kern w:val="0"/>
                <w:sz w:val="24"/>
              </w:rPr>
            </w:pPr>
          </w:p>
          <w:p w14:paraId="25A5350E">
            <w:pPr>
              <w:pStyle w:val="4"/>
              <w:ind w:firstLine="480"/>
              <w:rPr>
                <w:rFonts w:ascii="仿宋_GB2312" w:hAnsi="仿宋_GB2312" w:eastAsia="仿宋_GB2312" w:cs="仿宋_GB2312"/>
                <w:kern w:val="0"/>
                <w:sz w:val="24"/>
              </w:rPr>
            </w:pPr>
          </w:p>
          <w:p w14:paraId="426451FC">
            <w:pPr>
              <w:widowControl/>
              <w:jc w:val="center"/>
              <w:rPr>
                <w:rFonts w:ascii="仿宋_GB2312" w:hAnsi="仿宋_GB2312" w:eastAsia="仿宋_GB2312" w:cs="仿宋_GB2312"/>
                <w:kern w:val="0"/>
                <w:sz w:val="24"/>
              </w:rPr>
            </w:pPr>
          </w:p>
          <w:p w14:paraId="5EBED66C">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良好</w:t>
            </w:r>
          </w:p>
          <w:p w14:paraId="3187C138">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行为</w:t>
            </w:r>
          </w:p>
          <w:p w14:paraId="2F319AD6">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（27分）</w:t>
            </w:r>
          </w:p>
        </w:tc>
        <w:tc>
          <w:tcPr>
            <w:tcW w:w="1215" w:type="dxa"/>
            <w:tcBorders>
              <w:top w:val="single" w:color="auto" w:sz="4" w:space="0"/>
              <w:left w:val="single" w:color="auto" w:sz="4" w:space="0"/>
              <w:right w:val="single" w:color="auto" w:sz="4" w:space="0"/>
            </w:tcBorders>
            <w:noWrap/>
            <w:vAlign w:val="center"/>
          </w:tcPr>
          <w:p w14:paraId="6D307B66">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业务能力提升</w:t>
            </w:r>
          </w:p>
        </w:tc>
        <w:tc>
          <w:tcPr>
            <w:tcW w:w="825" w:type="dxa"/>
            <w:tcBorders>
              <w:top w:val="single" w:color="auto" w:sz="4" w:space="0"/>
              <w:left w:val="single" w:color="auto" w:sz="4" w:space="0"/>
              <w:right w:val="single" w:color="auto" w:sz="4" w:space="0"/>
            </w:tcBorders>
            <w:noWrap/>
            <w:vAlign w:val="center"/>
          </w:tcPr>
          <w:p w14:paraId="11C7DB8F">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7995" w:type="dxa"/>
            <w:tcBorders>
              <w:top w:val="single" w:color="auto" w:sz="4" w:space="0"/>
              <w:left w:val="single" w:color="auto" w:sz="4" w:space="0"/>
              <w:right w:val="single" w:color="auto" w:sz="4" w:space="0"/>
            </w:tcBorders>
            <w:noWrap/>
            <w:vAlign w:val="center"/>
          </w:tcPr>
          <w:p w14:paraId="5AC8F0A8">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招标代理机构上一年度参加房建市政相关法律法规、政策制度等培训人员比例：</w:t>
            </w:r>
          </w:p>
          <w:p w14:paraId="5B7B628E">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大于80%得11分；</w:t>
            </w:r>
          </w:p>
          <w:p w14:paraId="55F6976E">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60%（含）-80%（不含）得9分；</w:t>
            </w:r>
          </w:p>
          <w:p w14:paraId="40E75579">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40%（含）-60%（不含）得7分；</w:t>
            </w:r>
          </w:p>
          <w:p w14:paraId="53CBCA41">
            <w:pPr>
              <w:widowControl/>
              <w:adjustRightInd w:val="0"/>
              <w:snapToGrid w:val="0"/>
              <w:ind w:left="4560" w:hanging="4560" w:hangingChars="19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20%（含）-40%（不含）得5分；</w:t>
            </w:r>
          </w:p>
          <w:p w14:paraId="0746B6EB">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20%以下得3分；</w:t>
            </w:r>
          </w:p>
          <w:p w14:paraId="49EE051B">
            <w:pPr>
              <w:widowControl/>
              <w:adjustRightInd w:val="0"/>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未参加不得分。</w:t>
            </w:r>
          </w:p>
        </w:tc>
        <w:tc>
          <w:tcPr>
            <w:tcW w:w="3006" w:type="dxa"/>
            <w:tcBorders>
              <w:top w:val="single" w:color="auto" w:sz="4" w:space="0"/>
              <w:left w:val="single" w:color="auto" w:sz="4" w:space="0"/>
              <w:right w:val="single" w:color="auto" w:sz="4" w:space="0"/>
            </w:tcBorders>
            <w:noWrap/>
            <w:vAlign w:val="center"/>
          </w:tcPr>
          <w:p w14:paraId="697B7E85">
            <w:pPr>
              <w:widowControl/>
              <w:adjustRightInd w:val="0"/>
              <w:snapToGrid w:val="0"/>
              <w:jc w:val="left"/>
              <w:rPr>
                <w:rFonts w:ascii="仿宋_GB2312" w:hAnsi="仿宋_GB2312" w:eastAsia="仿宋_GB2312" w:cs="仿宋_GB2312"/>
                <w:sz w:val="24"/>
              </w:rPr>
            </w:pPr>
            <w:r>
              <w:rPr>
                <w:rFonts w:hint="eastAsia" w:ascii="仿宋_GB2312" w:hAnsi="仿宋_GB2312" w:eastAsia="仿宋_GB2312" w:cs="仿宋_GB2312"/>
                <w:kern w:val="0"/>
                <w:sz w:val="24"/>
                <w:lang w:val="en-US" w:eastAsia="zh-CN"/>
              </w:rPr>
              <w:t>企业自行填报（</w:t>
            </w:r>
            <w:r>
              <w:rPr>
                <w:rFonts w:hint="eastAsia" w:ascii="仿宋_GB2312" w:hAnsi="仿宋_GB2312" w:eastAsia="仿宋_GB2312" w:cs="仿宋_GB2312"/>
                <w:sz w:val="24"/>
              </w:rPr>
              <w:t>上传培训通知、</w:t>
            </w:r>
            <w:r>
              <w:rPr>
                <w:rFonts w:hint="eastAsia" w:ascii="仿宋_GB2312" w:hAnsi="仿宋_GB2312" w:eastAsia="仿宋_GB2312" w:cs="仿宋_GB2312"/>
                <w:sz w:val="24"/>
                <w:lang w:val="en-US" w:eastAsia="zh-CN"/>
              </w:rPr>
              <w:t>缴费发票</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sz w:val="24"/>
              </w:rPr>
              <w:t xml:space="preserve">      </w:t>
            </w:r>
          </w:p>
          <w:p w14:paraId="7884FEF7">
            <w:pPr>
              <w:pStyle w:val="4"/>
              <w:ind w:left="0" w:leftChars="0" w:firstLine="0" w:firstLineChars="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注：</w:t>
            </w:r>
            <w:r>
              <w:rPr>
                <w:rFonts w:hint="eastAsia" w:ascii="仿宋_GB2312" w:hAnsi="仿宋_GB2312" w:eastAsia="仿宋_GB2312" w:cs="仿宋_GB2312"/>
                <w:sz w:val="24"/>
              </w:rPr>
              <w:t>单人参加培训次数不累加；</w:t>
            </w:r>
          </w:p>
        </w:tc>
        <w:tc>
          <w:tcPr>
            <w:tcW w:w="774" w:type="dxa"/>
            <w:vMerge w:val="restart"/>
            <w:tcBorders>
              <w:top w:val="single" w:color="auto" w:sz="4" w:space="0"/>
              <w:left w:val="single" w:color="auto" w:sz="4" w:space="0"/>
              <w:right w:val="single" w:color="auto" w:sz="4" w:space="0"/>
            </w:tcBorders>
            <w:noWrap/>
            <w:vAlign w:val="center"/>
          </w:tcPr>
          <w:p w14:paraId="42DBA765">
            <w:pPr>
              <w:widowControl/>
              <w:rPr>
                <w:rFonts w:ascii="仿宋_GB2312" w:hAnsi="仿宋_GB2312" w:eastAsia="仿宋_GB2312" w:cs="仿宋_GB2312"/>
                <w:kern w:val="0"/>
                <w:sz w:val="24"/>
              </w:rPr>
            </w:pPr>
          </w:p>
        </w:tc>
      </w:tr>
      <w:tr w14:paraId="11FF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475" w:type="dxa"/>
            <w:vMerge w:val="continue"/>
            <w:tcBorders>
              <w:left w:val="single" w:color="auto" w:sz="4" w:space="0"/>
              <w:right w:val="single" w:color="auto" w:sz="4" w:space="0"/>
            </w:tcBorders>
            <w:noWrap/>
            <w:vAlign w:val="center"/>
          </w:tcPr>
          <w:p w14:paraId="14612F0A">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3055C026">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right w:val="single" w:color="auto" w:sz="4" w:space="0"/>
            </w:tcBorders>
            <w:noWrap/>
            <w:vAlign w:val="center"/>
          </w:tcPr>
          <w:p w14:paraId="406C187C">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动态考核表扬</w:t>
            </w:r>
          </w:p>
          <w:p w14:paraId="18CFCE79">
            <w:pPr>
              <w:widowControl/>
              <w:adjustRightInd w:val="0"/>
              <w:snapToGrid w:val="0"/>
              <w:jc w:val="center"/>
              <w:rPr>
                <w:rFonts w:ascii="仿宋_GB2312" w:hAnsi="仿宋_GB2312" w:eastAsia="仿宋_GB2312" w:cs="仿宋_GB2312"/>
                <w:kern w:val="0"/>
                <w:sz w:val="24"/>
              </w:rPr>
            </w:pPr>
          </w:p>
        </w:tc>
        <w:tc>
          <w:tcPr>
            <w:tcW w:w="825" w:type="dxa"/>
            <w:tcBorders>
              <w:top w:val="single" w:color="auto" w:sz="4" w:space="0"/>
              <w:left w:val="single" w:color="auto" w:sz="4" w:space="0"/>
              <w:right w:val="single" w:color="auto" w:sz="4" w:space="0"/>
            </w:tcBorders>
            <w:noWrap/>
            <w:vAlign w:val="center"/>
          </w:tcPr>
          <w:p w14:paraId="6F5652F6">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7995" w:type="dxa"/>
            <w:tcBorders>
              <w:top w:val="single" w:color="auto" w:sz="4" w:space="0"/>
              <w:left w:val="single" w:color="auto" w:sz="4" w:space="0"/>
              <w:right w:val="single" w:color="auto" w:sz="4" w:space="0"/>
            </w:tcBorders>
            <w:noWrap/>
            <w:vAlign w:val="center"/>
          </w:tcPr>
          <w:p w14:paraId="15D3A0AF">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招标代理机构在上一年度招标工作中，受到县级以上住房和城乡建设主管部门或建设工程招投标行业协会（学会）通报表扬的，以发文时间为准，国家级每次计3分；自治区级每次计2分；州市级每次计1分；县级每次记0.5分，有效期1年。</w:t>
            </w:r>
          </w:p>
          <w:p w14:paraId="53F93AD5">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注：招标代理机构因同一事项同时被表扬的，按最高分加分，不再重复加分。</w:t>
            </w:r>
          </w:p>
        </w:tc>
        <w:tc>
          <w:tcPr>
            <w:tcW w:w="3006" w:type="dxa"/>
            <w:tcBorders>
              <w:top w:val="single" w:color="auto" w:sz="4" w:space="0"/>
              <w:left w:val="single" w:color="auto" w:sz="4" w:space="0"/>
              <w:right w:val="single" w:color="auto" w:sz="4" w:space="0"/>
            </w:tcBorders>
            <w:noWrap/>
            <w:vAlign w:val="center"/>
          </w:tcPr>
          <w:p w14:paraId="52E03C31">
            <w:pPr>
              <w:widowControl/>
              <w:adjustRightInd w:val="0"/>
              <w:snapToGrid w:val="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企业</w:t>
            </w:r>
            <w:r>
              <w:rPr>
                <w:rFonts w:hint="eastAsia" w:ascii="仿宋_GB2312" w:hAnsi="仿宋_GB2312" w:eastAsia="仿宋_GB2312" w:cs="仿宋_GB2312"/>
                <w:kern w:val="0"/>
                <w:sz w:val="24"/>
              </w:rPr>
              <w:t>自行填报</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以正式文件为准。</w:t>
            </w:r>
          </w:p>
        </w:tc>
        <w:tc>
          <w:tcPr>
            <w:tcW w:w="774" w:type="dxa"/>
            <w:vMerge w:val="continue"/>
            <w:tcBorders>
              <w:left w:val="single" w:color="auto" w:sz="4" w:space="0"/>
              <w:bottom w:val="single" w:color="auto" w:sz="4" w:space="0"/>
              <w:right w:val="single" w:color="auto" w:sz="4" w:space="0"/>
            </w:tcBorders>
            <w:noWrap/>
            <w:vAlign w:val="center"/>
          </w:tcPr>
          <w:p w14:paraId="0F6DFA05">
            <w:pPr>
              <w:widowControl/>
              <w:rPr>
                <w:rFonts w:ascii="仿宋_GB2312" w:hAnsi="仿宋_GB2312" w:eastAsia="仿宋_GB2312" w:cs="仿宋_GB2312"/>
                <w:kern w:val="0"/>
                <w:sz w:val="24"/>
              </w:rPr>
            </w:pPr>
          </w:p>
        </w:tc>
      </w:tr>
      <w:tr w14:paraId="376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475" w:type="dxa"/>
            <w:vMerge w:val="continue"/>
            <w:tcBorders>
              <w:left w:val="single" w:color="auto" w:sz="4" w:space="0"/>
              <w:right w:val="single" w:color="auto" w:sz="4" w:space="0"/>
            </w:tcBorders>
            <w:noWrap/>
            <w:vAlign w:val="center"/>
          </w:tcPr>
          <w:p w14:paraId="3DCB7C28">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4A63F390">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right w:val="single" w:color="auto" w:sz="4" w:space="0"/>
            </w:tcBorders>
            <w:noWrap/>
            <w:vAlign w:val="center"/>
          </w:tcPr>
          <w:p w14:paraId="1F908019">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活动参与</w:t>
            </w:r>
          </w:p>
        </w:tc>
        <w:tc>
          <w:tcPr>
            <w:tcW w:w="825" w:type="dxa"/>
            <w:tcBorders>
              <w:top w:val="single" w:color="auto" w:sz="4" w:space="0"/>
              <w:left w:val="single" w:color="auto" w:sz="4" w:space="0"/>
              <w:right w:val="single" w:color="auto" w:sz="4" w:space="0"/>
            </w:tcBorders>
            <w:noWrap/>
            <w:vAlign w:val="center"/>
          </w:tcPr>
          <w:p w14:paraId="77FB3AC1">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7995" w:type="dxa"/>
            <w:tcBorders>
              <w:top w:val="single" w:color="auto" w:sz="4" w:space="0"/>
              <w:left w:val="single" w:color="auto" w:sz="4" w:space="0"/>
              <w:right w:val="single" w:color="auto" w:sz="4" w:space="0"/>
            </w:tcBorders>
            <w:noWrap/>
            <w:vAlign w:val="center"/>
          </w:tcPr>
          <w:p w14:paraId="78D38503">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上一年度积极参与活动：</w:t>
            </w:r>
          </w:p>
          <w:p w14:paraId="3FBB269C">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1.参与过公益活动的，满5000元得0.5分，以此类推；</w:t>
            </w:r>
          </w:p>
          <w:p w14:paraId="57C4F367">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highlight w:val="none"/>
              </w:rPr>
              <w:t>派员参加自治区建设行政主管部门或自治区建设工程招标投标协会组织的其他活动的，得0.3分/次</w:t>
            </w:r>
            <w:r>
              <w:rPr>
                <w:rFonts w:hint="eastAsia" w:ascii="仿宋_GB2312" w:hAnsi="仿宋_GB2312" w:eastAsia="仿宋_GB2312" w:cs="仿宋_GB2312"/>
                <w:kern w:val="0"/>
                <w:sz w:val="24"/>
              </w:rPr>
              <w:t>；</w:t>
            </w:r>
          </w:p>
          <w:p w14:paraId="4476A2B0">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注：以参与活动时间为准。</w:t>
            </w:r>
          </w:p>
        </w:tc>
        <w:tc>
          <w:tcPr>
            <w:tcW w:w="3006" w:type="dxa"/>
            <w:tcBorders>
              <w:top w:val="single" w:color="auto" w:sz="4" w:space="0"/>
              <w:left w:val="single" w:color="auto" w:sz="4" w:space="0"/>
              <w:right w:val="single" w:color="auto" w:sz="4" w:space="0"/>
            </w:tcBorders>
            <w:noWrap/>
            <w:vAlign w:val="center"/>
          </w:tcPr>
          <w:p w14:paraId="6C87AD1B">
            <w:pPr>
              <w:widowControl/>
              <w:adjustRightInd w:val="0"/>
              <w:snapToGrid w:val="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企业自行填报</w:t>
            </w:r>
          </w:p>
          <w:p w14:paraId="7B7C6B39">
            <w:pPr>
              <w:widowControl/>
              <w:adjustRightInd w:val="0"/>
              <w:snapToGrid w:val="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公益活动上传缴费凭证、证书或锦旗；</w:t>
            </w:r>
          </w:p>
          <w:p w14:paraId="1016E135">
            <w:pPr>
              <w:widowControl/>
              <w:adjustRightInd w:val="0"/>
              <w:snapToGrid w:val="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其他活动上传活动通知、活动参加记录或媒体报道等证明性材料；</w:t>
            </w:r>
          </w:p>
        </w:tc>
        <w:tc>
          <w:tcPr>
            <w:tcW w:w="774" w:type="dxa"/>
            <w:vMerge w:val="continue"/>
            <w:tcBorders>
              <w:left w:val="single" w:color="auto" w:sz="4" w:space="0"/>
              <w:bottom w:val="single" w:color="auto" w:sz="4" w:space="0"/>
              <w:right w:val="single" w:color="auto" w:sz="4" w:space="0"/>
            </w:tcBorders>
            <w:noWrap/>
            <w:vAlign w:val="center"/>
          </w:tcPr>
          <w:p w14:paraId="22418E55">
            <w:pPr>
              <w:widowControl/>
              <w:rPr>
                <w:rFonts w:ascii="仿宋_GB2312" w:hAnsi="仿宋_GB2312" w:eastAsia="仿宋_GB2312" w:cs="仿宋_GB2312"/>
                <w:kern w:val="0"/>
                <w:sz w:val="24"/>
              </w:rPr>
            </w:pPr>
          </w:p>
        </w:tc>
      </w:tr>
      <w:tr w14:paraId="7A5F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75" w:type="dxa"/>
            <w:vMerge w:val="continue"/>
            <w:tcBorders>
              <w:left w:val="single" w:color="auto" w:sz="4" w:space="0"/>
              <w:right w:val="single" w:color="auto" w:sz="4" w:space="0"/>
            </w:tcBorders>
            <w:noWrap/>
            <w:vAlign w:val="center"/>
          </w:tcPr>
          <w:p w14:paraId="28A4C41D">
            <w:pPr>
              <w:widowControl/>
              <w:jc w:val="center"/>
              <w:rPr>
                <w:rFonts w:ascii="仿宋_GB2312" w:hAnsi="仿宋_GB2312" w:eastAsia="仿宋_GB2312" w:cs="仿宋_GB2312"/>
                <w:kern w:val="0"/>
                <w:sz w:val="24"/>
              </w:rPr>
            </w:pPr>
          </w:p>
        </w:tc>
        <w:tc>
          <w:tcPr>
            <w:tcW w:w="1200" w:type="dxa"/>
            <w:vMerge w:val="continue"/>
            <w:tcBorders>
              <w:left w:val="single" w:color="auto" w:sz="4" w:space="0"/>
              <w:right w:val="single" w:color="auto" w:sz="4" w:space="0"/>
            </w:tcBorders>
            <w:noWrap/>
            <w:vAlign w:val="center"/>
          </w:tcPr>
          <w:p w14:paraId="5A3D9F67">
            <w:pPr>
              <w:widowControl/>
              <w:jc w:val="center"/>
              <w:rPr>
                <w:rFonts w:ascii="仿宋_GB2312" w:hAnsi="仿宋_GB2312" w:eastAsia="仿宋_GB2312" w:cs="仿宋_GB2312"/>
                <w:kern w:val="0"/>
                <w:sz w:val="24"/>
              </w:rPr>
            </w:pPr>
          </w:p>
        </w:tc>
        <w:tc>
          <w:tcPr>
            <w:tcW w:w="1215" w:type="dxa"/>
            <w:tcBorders>
              <w:top w:val="single" w:color="auto" w:sz="4" w:space="0"/>
              <w:left w:val="single" w:color="auto" w:sz="4" w:space="0"/>
              <w:bottom w:val="single" w:color="auto" w:sz="4" w:space="0"/>
              <w:right w:val="single" w:color="auto" w:sz="4" w:space="0"/>
            </w:tcBorders>
            <w:noWrap/>
            <w:vAlign w:val="center"/>
          </w:tcPr>
          <w:p w14:paraId="7A0EF511">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专业论文发表</w:t>
            </w:r>
          </w:p>
        </w:tc>
        <w:tc>
          <w:tcPr>
            <w:tcW w:w="825" w:type="dxa"/>
            <w:tcBorders>
              <w:top w:val="single" w:color="auto" w:sz="4" w:space="0"/>
              <w:left w:val="single" w:color="auto" w:sz="4" w:space="0"/>
              <w:bottom w:val="single" w:color="auto" w:sz="4" w:space="0"/>
              <w:right w:val="single" w:color="auto" w:sz="4" w:space="0"/>
            </w:tcBorders>
            <w:noWrap/>
            <w:vAlign w:val="center"/>
          </w:tcPr>
          <w:p w14:paraId="65CA9029">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995" w:type="dxa"/>
            <w:tcBorders>
              <w:top w:val="single" w:color="auto" w:sz="4" w:space="0"/>
              <w:left w:val="single" w:color="auto" w:sz="4" w:space="0"/>
              <w:bottom w:val="single" w:color="auto" w:sz="4" w:space="0"/>
              <w:right w:val="single" w:color="auto" w:sz="4" w:space="0"/>
            </w:tcBorders>
            <w:noWrap/>
            <w:vAlign w:val="center"/>
          </w:tcPr>
          <w:p w14:paraId="697677D2">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上一年度专职人员在公开发行刊物（双刊号刊物</w:t>
            </w:r>
            <w:bookmarkStart w:id="0" w:name="_GoBack"/>
            <w:bookmarkEnd w:id="0"/>
            <w:r>
              <w:rPr>
                <w:rFonts w:hint="eastAsia" w:ascii="仿宋_GB2312" w:hAnsi="仿宋_GB2312" w:eastAsia="仿宋_GB2312" w:cs="仿宋_GB2312"/>
                <w:kern w:val="0"/>
                <w:sz w:val="24"/>
              </w:rPr>
              <w:t>）上发表与招标投标工作相关文章的，得1分。</w:t>
            </w:r>
          </w:p>
          <w:p w14:paraId="1F3F4821">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注：以刊物出版时间为准。</w:t>
            </w:r>
          </w:p>
        </w:tc>
        <w:tc>
          <w:tcPr>
            <w:tcW w:w="3006" w:type="dxa"/>
            <w:tcBorders>
              <w:top w:val="single" w:color="auto" w:sz="4" w:space="0"/>
              <w:left w:val="single" w:color="auto" w:sz="4" w:space="0"/>
              <w:bottom w:val="single" w:color="auto" w:sz="4" w:space="0"/>
              <w:right w:val="single" w:color="auto" w:sz="4" w:space="0"/>
            </w:tcBorders>
            <w:noWrap/>
            <w:vAlign w:val="center"/>
          </w:tcPr>
          <w:p w14:paraId="01D45E27">
            <w:pPr>
              <w:widowControl/>
              <w:adjustRightInd w:val="0"/>
              <w:snapToGrid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企业</w:t>
            </w:r>
            <w:r>
              <w:rPr>
                <w:rFonts w:hint="eastAsia" w:ascii="仿宋_GB2312" w:hAnsi="仿宋_GB2312" w:eastAsia="仿宋_GB2312" w:cs="仿宋_GB2312"/>
                <w:kern w:val="0"/>
                <w:sz w:val="24"/>
              </w:rPr>
              <w:t>自行填报（上传刊物封面、目录及文章）</w:t>
            </w:r>
          </w:p>
        </w:tc>
        <w:tc>
          <w:tcPr>
            <w:tcW w:w="774" w:type="dxa"/>
            <w:vMerge w:val="continue"/>
            <w:tcBorders>
              <w:left w:val="single" w:color="auto" w:sz="4" w:space="0"/>
              <w:right w:val="single" w:color="auto" w:sz="4" w:space="0"/>
            </w:tcBorders>
            <w:noWrap/>
            <w:vAlign w:val="center"/>
          </w:tcPr>
          <w:p w14:paraId="28083E2B">
            <w:pPr>
              <w:widowControl/>
              <w:rPr>
                <w:rFonts w:ascii="仿宋_GB2312" w:hAnsi="仿宋_GB2312" w:eastAsia="仿宋_GB2312" w:cs="仿宋_GB2312"/>
                <w:kern w:val="0"/>
                <w:sz w:val="24"/>
              </w:rPr>
            </w:pPr>
          </w:p>
        </w:tc>
      </w:tr>
      <w:tr w14:paraId="27D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75" w:type="dxa"/>
            <w:tcBorders>
              <w:left w:val="single" w:color="auto" w:sz="4" w:space="0"/>
              <w:right w:val="single" w:color="auto" w:sz="4" w:space="0"/>
            </w:tcBorders>
            <w:noWrap/>
            <w:vAlign w:val="center"/>
          </w:tcPr>
          <w:p w14:paraId="70C6E35C">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00" w:type="dxa"/>
            <w:tcBorders>
              <w:left w:val="single" w:color="auto" w:sz="4" w:space="0"/>
              <w:right w:val="single" w:color="auto" w:sz="4" w:space="0"/>
            </w:tcBorders>
            <w:noWrap/>
            <w:vAlign w:val="center"/>
          </w:tcPr>
          <w:p w14:paraId="5AE9CFA3">
            <w:pPr>
              <w:widowControl/>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近三年信用评价结果带入分值</w:t>
            </w:r>
          </w:p>
        </w:tc>
        <w:tc>
          <w:tcPr>
            <w:tcW w:w="13041" w:type="dxa"/>
            <w:gridSpan w:val="4"/>
            <w:tcBorders>
              <w:top w:val="single" w:color="auto" w:sz="4" w:space="0"/>
              <w:left w:val="single" w:color="auto" w:sz="4" w:space="0"/>
              <w:right w:val="single" w:color="auto" w:sz="4" w:space="0"/>
            </w:tcBorders>
            <w:noWrap/>
            <w:vAlign w:val="center"/>
          </w:tcPr>
          <w:p w14:paraId="3429432F">
            <w:pPr>
              <w:widowControl/>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近三年信用评价结果带入分值计算方法及比例：</w:t>
            </w:r>
            <w:r>
              <w:rPr>
                <w:rFonts w:hint="eastAsia" w:ascii="仿宋_GB2312" w:hAnsi="仿宋_GB2312" w:eastAsia="仿宋_GB2312" w:cs="仿宋_GB2312"/>
                <w:sz w:val="24"/>
                <w:szCs w:val="24"/>
                <w:lang w:val="en-US" w:eastAsia="zh-CN"/>
              </w:rPr>
              <w:t>临近第三年度评价得分的5%+临近第二年度评价得分的3%+临近第一年度评价得分的2%=当年带入分值</w:t>
            </w:r>
            <w:r>
              <w:rPr>
                <w:rFonts w:hint="eastAsia" w:ascii="仿宋_GB2312" w:hAnsi="仿宋_GB2312" w:eastAsia="仿宋_GB2312" w:cs="仿宋_GB2312"/>
                <w:sz w:val="24"/>
                <w:szCs w:val="24"/>
              </w:rPr>
              <w:t>。</w:t>
            </w:r>
          </w:p>
          <w:p w14:paraId="0C2F13AD">
            <w:pPr>
              <w:pStyle w:val="8"/>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当年新参评的招标代理机构，带入分值按上年度所有参评企业信用评价得分平均分×10%带入。</w:t>
            </w:r>
          </w:p>
        </w:tc>
        <w:tc>
          <w:tcPr>
            <w:tcW w:w="774" w:type="dxa"/>
            <w:tcBorders>
              <w:left w:val="single" w:color="auto" w:sz="4" w:space="0"/>
              <w:bottom w:val="single" w:color="auto" w:sz="4" w:space="0"/>
              <w:right w:val="single" w:color="auto" w:sz="4" w:space="0"/>
            </w:tcBorders>
            <w:noWrap/>
            <w:vAlign w:val="center"/>
          </w:tcPr>
          <w:p w14:paraId="34730CE2">
            <w:pPr>
              <w:widowControl/>
              <w:rPr>
                <w:rFonts w:ascii="仿宋_GB2312" w:hAnsi="仿宋_GB2312" w:eastAsia="仿宋_GB2312" w:cs="仿宋_GB2312"/>
                <w:kern w:val="0"/>
                <w:sz w:val="24"/>
              </w:rPr>
            </w:pPr>
          </w:p>
        </w:tc>
      </w:tr>
    </w:tbl>
    <w:p w14:paraId="1FFEC54B"/>
    <w:sectPr>
      <w:pgSz w:w="16838" w:h="11906" w:orient="landscape"/>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MzMzZjhhY2NkNTBmNTUyODVlODkyZDNjYjNkOTMifQ=="/>
  </w:docVars>
  <w:rsids>
    <w:rsidRoot w:val="40A16ED8"/>
    <w:rsid w:val="13540B82"/>
    <w:rsid w:val="15192D96"/>
    <w:rsid w:val="1C157C78"/>
    <w:rsid w:val="20884FF3"/>
    <w:rsid w:val="29BA649E"/>
    <w:rsid w:val="321F7F2F"/>
    <w:rsid w:val="39CD2D71"/>
    <w:rsid w:val="40A16ED8"/>
    <w:rsid w:val="40F90B72"/>
    <w:rsid w:val="575036D4"/>
    <w:rsid w:val="5E653F23"/>
    <w:rsid w:val="679F4623"/>
    <w:rsid w:val="6CF92406"/>
    <w:rsid w:val="773761E2"/>
    <w:rsid w:val="7B942DEF"/>
    <w:rsid w:val="DF1EF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99"/>
    <w:pPr>
      <w:spacing w:after="120"/>
      <w:ind w:left="420" w:leftChars="200"/>
    </w:pPr>
  </w:style>
  <w:style w:type="paragraph" w:styleId="3">
    <w:name w:val="Normal (Web)"/>
    <w:basedOn w:val="1"/>
    <w:next w:val="1"/>
    <w:autoRedefine/>
    <w:semiHidden/>
    <w:unhideWhenUsed/>
    <w:qFormat/>
    <w:uiPriority w:val="99"/>
    <w:pPr>
      <w:spacing w:beforeAutospacing="1" w:afterAutospacing="1"/>
      <w:jc w:val="left"/>
    </w:pPr>
    <w:rPr>
      <w:rFonts w:cs="Times New Roman"/>
      <w:kern w:val="0"/>
      <w:sz w:val="24"/>
    </w:rPr>
  </w:style>
  <w:style w:type="paragraph" w:styleId="4">
    <w:name w:val="Body Text First Indent 2"/>
    <w:basedOn w:val="2"/>
    <w:autoRedefine/>
    <w:qFormat/>
    <w:uiPriority w:val="99"/>
    <w:pPr>
      <w:ind w:firstLine="420" w:firstLineChars="200"/>
    </w:pPr>
  </w:style>
  <w:style w:type="paragraph" w:customStyle="1" w:styleId="7">
    <w:name w:val="Other|1"/>
    <w:basedOn w:val="1"/>
    <w:autoRedefine/>
    <w:qFormat/>
    <w:uiPriority w:val="0"/>
    <w:pPr>
      <w:spacing w:line="406" w:lineRule="auto"/>
      <w:ind w:firstLine="400"/>
    </w:pPr>
    <w:rPr>
      <w:rFonts w:ascii="宋体" w:hAnsi="宋体" w:eastAsia="宋体" w:cs="宋体"/>
      <w:sz w:val="30"/>
      <w:szCs w:val="30"/>
      <w:lang w:val="zh-TW" w:eastAsia="zh-TW" w:bidi="zh-TW"/>
    </w:rPr>
  </w:style>
  <w:style w:type="paragraph" w:customStyle="1" w:styleId="8">
    <w:name w:val="Body text|1"/>
    <w:basedOn w:val="1"/>
    <w:autoRedefine/>
    <w:qFormat/>
    <w:uiPriority w:val="0"/>
    <w:pPr>
      <w:spacing w:line="406"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1546</Words>
  <Characters>1647</Characters>
  <Lines>0</Lines>
  <Paragraphs>0</Paragraphs>
  <TotalTime>47</TotalTime>
  <ScaleCrop>false</ScaleCrop>
  <LinksUpToDate>false</LinksUpToDate>
  <CharactersWithSpaces>1655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2021-12-02T12:09:00Z</dcterms:created>
  <dc:creator>眸若星辰</dc:creator>
  <cp:lastModifiedBy>眸若星辰</cp:lastModifiedBy>
  <dcterms:modified xsi:type="dcterms:W3CDTF">2025-12-17T03:09:35Z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606F762773DB4D849CD0C1D918873EC3</vt:lpwstr>
  </property>
  <property fmtid="{D5CDD505-2E9C-101B-9397-08002B2CF9AE}" pid="4" name="KSOTemplateDocerSaveRecord">
    <vt:lpwstr>eyJoZGlkIjoiOGU4NjdkOGEzZmMzMTMzNzJkNGU3YTE0NTY1NmM2ZGEiLCJ1c2VySWQiOiIyNjk5MDgyMTUifQ==</vt:lpwstr>
  </property>
</Properties>
</file>